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9F76">
      <w:pPr>
        <w:pStyle w:val="7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A N D A L U Z I J A</w:t>
      </w:r>
    </w:p>
    <w:p w14:paraId="305E1884">
      <w:pPr>
        <w:pStyle w:val="7"/>
        <w:ind w:right="143"/>
        <w:jc w:val="right"/>
        <w:rPr>
          <w:rFonts w:hint="default" w:ascii="Times New Roman" w:hAnsi="Times New Roman" w:cs="Times New Roman"/>
          <w:b/>
          <w:i/>
          <w:color w:val="FF0000"/>
          <w:sz w:val="16"/>
          <w:szCs w:val="16"/>
          <w:lang w:val="hr-HR"/>
        </w:rPr>
      </w:pPr>
      <w:r>
        <w:rPr>
          <w:rFonts w:ascii="Times New Roman" w:hAnsi="Times New Roman" w:cs="Times New Roman"/>
          <w:b/>
          <w:i/>
          <w:color w:val="FF0000"/>
          <w:sz w:val="16"/>
          <w:szCs w:val="16"/>
        </w:rPr>
        <w:t>0</w:t>
      </w:r>
      <w:r>
        <w:rPr>
          <w:rFonts w:hint="default" w:ascii="Times New Roman" w:hAnsi="Times New Roman" w:cs="Times New Roman"/>
          <w:b/>
          <w:i/>
          <w:color w:val="FF0000"/>
          <w:sz w:val="16"/>
          <w:szCs w:val="16"/>
          <w:lang w:val="hr-HR"/>
        </w:rPr>
        <w:t>86</w:t>
      </w:r>
      <w:r>
        <w:rPr>
          <w:rFonts w:ascii="Times New Roman" w:hAnsi="Times New Roman" w:cs="Times New Roman"/>
          <w:b/>
          <w:i/>
          <w:color w:val="FF0000"/>
          <w:sz w:val="16"/>
          <w:szCs w:val="16"/>
        </w:rPr>
        <w:t>-202</w:t>
      </w:r>
      <w:r>
        <w:rPr>
          <w:rFonts w:hint="default" w:ascii="Times New Roman" w:hAnsi="Times New Roman" w:cs="Times New Roman"/>
          <w:b/>
          <w:i/>
          <w:color w:val="FF0000"/>
          <w:sz w:val="16"/>
          <w:szCs w:val="16"/>
          <w:lang w:val="hr-HR"/>
        </w:rPr>
        <w:t>6</w:t>
      </w:r>
    </w:p>
    <w:tbl>
      <w:tblPr>
        <w:tblStyle w:val="6"/>
        <w:tblW w:w="10915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8"/>
        <w:gridCol w:w="1474"/>
        <w:gridCol w:w="1214"/>
        <w:gridCol w:w="7015"/>
      </w:tblGrid>
      <w:tr w14:paraId="61CF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3"/>
          <w:wBefore w:w="2686" w:type="dxa"/>
        </w:trPr>
        <w:tc>
          <w:tcPr>
            <w:tcW w:w="1214" w:type="dxa"/>
          </w:tcPr>
          <w:p w14:paraId="770D7F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-1887220</wp:posOffset>
                  </wp:positionH>
                  <wp:positionV relativeFrom="paragraph">
                    <wp:posOffset>76200</wp:posOffset>
                  </wp:positionV>
                  <wp:extent cx="1685290" cy="13335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977" t="30410" r="29718" b="31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1335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  <w:lang w:val="en-US" w:eastAsia="hr-HR"/>
              </w:rPr>
              <w:t>10</w:t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</w:rPr>
              <w:t>.</w:t>
            </w:r>
          </w:p>
          <w:p w14:paraId="1A65CF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8"/>
                <w:szCs w:val="18"/>
                <w:lang w:val="hr-HR"/>
              </w:rPr>
              <w:t>nedjelja</w:t>
            </w:r>
          </w:p>
        </w:tc>
        <w:tc>
          <w:tcPr>
            <w:tcW w:w="7015" w:type="dxa"/>
          </w:tcPr>
          <w:p w14:paraId="2C1B34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Okupljanje grupe u Zračnoj luci Split u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06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50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sati. Upoznavanje sa voditeljem putovanja, podjela putne dokumentacije i prijava na let za Granadu u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08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sati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sa presjedanjem u Barceloni. Dolazak u Granadu u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18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sati. Transfer autobusom od zračne luke do hotela. Prijava i smještaj.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Po želji grupe odlazak u orijentacijsku šetnju s voditeljem putovanja.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Noćenje.</w:t>
            </w:r>
          </w:p>
          <w:p w14:paraId="1DF030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EE0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686" w:type="dxa"/>
        </w:trPr>
        <w:tc>
          <w:tcPr>
            <w:tcW w:w="1214" w:type="dxa"/>
          </w:tcPr>
          <w:p w14:paraId="5CFD6D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11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14:paraId="1F6F40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ponedjeljak</w:t>
            </w:r>
          </w:p>
        </w:tc>
        <w:tc>
          <w:tcPr>
            <w:tcW w:w="7015" w:type="dxa"/>
          </w:tcPr>
          <w:p w14:paraId="672675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Doručak. Odlazak do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Alhambre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veličanstvene palače posljednjih muslimanskih vladara Španjolske -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Maurskih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Nasrida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građene od 13.-14.st. Smještena u podnožju Sierra Nevade, ova elegantna građevina se nalazi na UNESCO-vom popisu svjetske kulturne baštine. Mogućnost razgleda palače i vrtova Generalife u pratnji lokalnog vodiča. Nakon razgleda odlazak u šetnju slikovitim ulicama Granade: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 xml:space="preserve">Plaza Nueva, Medresa, bazar, Katedrala, ...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Slobodno vrijeme za osobne programe.  Povratak u hotel. Noćenje. </w:t>
            </w:r>
          </w:p>
          <w:p w14:paraId="0325EE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529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12" w:type="dxa"/>
            <w:gridSpan w:val="2"/>
          </w:tcPr>
          <w:p w14:paraId="401C1466"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12.05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</w:p>
          <w:p w14:paraId="5A08213E"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utorak</w:t>
            </w:r>
          </w:p>
        </w:tc>
        <w:tc>
          <w:tcPr>
            <w:tcW w:w="9703" w:type="dxa"/>
            <w:gridSpan w:val="3"/>
          </w:tcPr>
          <w:p w14:paraId="4183F07D">
            <w:pPr>
              <w:spacing w:after="0" w:line="240" w:lineRule="auto"/>
              <w:ind w:left="-44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Doručak. Odjava iz hotela. Polazak autobusom do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Ronde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impresivnog grada smještenog na litici koja se uzdiže 750 m iznad mora. Veličanstvena arhitektura, bogata povijest i prekrasan pogled čine ovaj grad glavnom turističkom atrakcijom u samom srcu Andaluzije. U Rondi se nalazi jedna od najstarijih arena za borbu s bikovima te ovaj grad ponosno nosi naziv „kolijevka koride“. Inspiraciju u Rondi su pronalazili umjetnici Ernest Hemingway, Orson Welles, James Joyce, Rainer Marie Rilke, ... Šetnja gradskim ulicama te slobodno vrijeme za osobne programe. Ukrcaj u autobus i nastavak vožnje prema gradu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La Línea de la Concepción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Smještaj u hotel. Noćenje. </w:t>
            </w:r>
          </w:p>
          <w:p w14:paraId="6598F6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7F0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670A8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13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14:paraId="0E00BA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srijeda</w:t>
            </w:r>
          </w:p>
        </w:tc>
        <w:tc>
          <w:tcPr>
            <w:tcW w:w="9781" w:type="dxa"/>
            <w:gridSpan w:val="4"/>
          </w:tcPr>
          <w:p w14:paraId="38D70C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Doručak. Odlazak do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Gibraltara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male države na samom jugu Pirinejskog zaljeva koji se nalazi pod vlašću Ujedinjenog Kraljevstva.  Pješački prelazak granice. Mogućnost organiziranog razgleda Gibraltara minibusevima: „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The Rock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“, masivna klisura koja se impresivno uzdiže iznad mora i koja je dom majmunima koji u cijeloj Europi jedino ovdje žive slobodno u divljini, vidikovac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Europa Point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odakle se za lijepog vremena može vidjeti Afrički kontinent, spilja sv. Mihovila i susret s majmunima na hranilištu. Slobodno vrijeme za osobne programe. Povratak u hotel. Noćenje.</w:t>
            </w:r>
          </w:p>
          <w:p w14:paraId="6660DF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BDB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232BA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14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14:paraId="41E58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četvrtak</w:t>
            </w:r>
          </w:p>
        </w:tc>
        <w:tc>
          <w:tcPr>
            <w:tcW w:w="9781" w:type="dxa"/>
            <w:gridSpan w:val="4"/>
          </w:tcPr>
          <w:p w14:paraId="497B6C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Doručak. Odjava iz hotela. Ukrcaj u autobus i polazak prema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Cadizu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Cadiz je jedan od najstarijih europskih gradova, osnovan davne 1100.god.pr.n.e. Po dolasku šetnja uskim uličicama grada: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 xml:space="preserve">katedrala, gradski trg, Torre Tavir – toranj s kojeg se pruža prekrasan pogled na grad i okolicu,...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Kraće slobodno vrijeme za osobne programe. Ukrcaj u autobus i polazak prema obližnjem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Jerezu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središtu vinogradarskog kraja čuvenog po proizvodnji i izvozu šerija, konjima i flamencu. Šetnja gradskim središtem i slobodno vrijeme za osobne programe.  Nastavak vožnje do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Seville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 Smještaj u hotel. Po želji grupe odlazak u šetnju gradskim središtem sa voditeljem putovanja. Noćenje.</w:t>
            </w:r>
          </w:p>
          <w:p w14:paraId="30893A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9F1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1232A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14:paraId="176D61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petak</w:t>
            </w:r>
          </w:p>
        </w:tc>
        <w:tc>
          <w:tcPr>
            <w:tcW w:w="9781" w:type="dxa"/>
            <w:gridSpan w:val="4"/>
          </w:tcPr>
          <w:p w14:paraId="6E351E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Doručak. Odlazak u šetnju gradskim središtem te u dogovreno vrijeme u pratnji lokalnog vodiča odlazak na razgled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Real Alcazar-a,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nekadašnje maurske raskošne kraljevske palače i veličanstvene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 xml:space="preserve"> Seviljske katedrale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iz 15.st. koja je sagrađena povrh nekadašnje maurske džamije. Ova gotička građevina postala je najveća katedrala na svijetu u kojoj se nalazi najveći oltar na svijetu  načinjen od dvije tone zlata te grob Kristofora Kolumba. Unutrašnjost je ukrašena slikama velikih španjolskih majstora Francisca Zurbarana i Goye. Nastavak pješačkog razgleda grada: toranj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Giralda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koji je simbol grada,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Torre del Oro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park Marije Luise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glavne gradske zelene površine sa prekrasnim trgom 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Plaza de Espana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,... Nakon razgleda grada slobodno vrijeme za osobne programe. Po želji grupe mogućnost organiziranog odlaska na flamenco show. Povratak u hotel. Noćenje.</w:t>
            </w:r>
          </w:p>
          <w:p w14:paraId="7F0377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C57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AC1BB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16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14:paraId="6D3664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subota</w:t>
            </w:r>
          </w:p>
        </w:tc>
        <w:tc>
          <w:tcPr>
            <w:tcW w:w="9781" w:type="dxa"/>
            <w:gridSpan w:val="4"/>
          </w:tcPr>
          <w:p w14:paraId="3303E3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Doručak. Odlazak autobusom prema 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>Cordobi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Po dolasku odlazak u razgled 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Velike džamije-Mezquite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u pratnji lokalnog vodiča. Ova džamija je jedna od najvećih u svijetu koja je dio bogate baštine islamske arhitekture i umjetnosti sačuvane u Španjolskoj.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Mezquita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je simbol svjetovne kulture koja je na ovom području procvjetala prije više od tisuću godina kada je Cordoba bila glavni grad islamske Španjolske i najkulturniji grad zapadne Europe. Nakon razgleda šetnja vijugastim ulicama i trgovima raspoređenim uokolo džamije do modernog dijela grada i glavne shopping zone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Plaza de las Tendillas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  Nakon razgleda slobodno vrijeme za osobne programe. Povratak u Sevillu. Noćenje.</w:t>
            </w:r>
          </w:p>
          <w:p w14:paraId="674012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DCB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4" w:type="dxa"/>
          </w:tcPr>
          <w:p w14:paraId="384644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17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14:paraId="7802C0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nedjelja</w:t>
            </w:r>
          </w:p>
        </w:tc>
        <w:tc>
          <w:tcPr>
            <w:tcW w:w="9781" w:type="dxa"/>
            <w:gridSpan w:val="4"/>
          </w:tcPr>
          <w:p w14:paraId="0F8B32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 xml:space="preserve">Doručak. U pratnji voditelja putovanja odlazak u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Museo de Bellas Artes de Sevilla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  <w:t>- jednu od najvažnijih umjetničkih galerija u Španjolskoj smještenoj u prekrasnoj zgradi bivšeg samostana. Muzej je poznat po izvanrednoj zbirci španjolskog slikarstva, a u njemu se nalaze remek djela El-Greca, Murilla i Zurbarana. Nakon posjeta muzeju odlazak u šetnju “nepoznatom Sevillom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”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  <w:t xml:space="preserve"> od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Barrio Santa Cruz 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  <w:t xml:space="preserve"> bivše židovske četvrti, do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Maurskog hamama, Hadrijanovih stupova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  <w:t xml:space="preserve"> u ulici Marmoles,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glave kralja Don Pedra I 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  <w:t xml:space="preserve">i 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palače Pilatos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  <w:t>...Poslijepodne slobodno za osobne programe. Noćenje.</w:t>
            </w:r>
          </w:p>
          <w:p w14:paraId="29C5A0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hr-HR"/>
              </w:rPr>
            </w:pPr>
          </w:p>
        </w:tc>
      </w:tr>
      <w:tr w14:paraId="2E34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4" w:type="dxa"/>
          </w:tcPr>
          <w:p w14:paraId="27996F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18.05.</w:t>
            </w:r>
          </w:p>
          <w:p w14:paraId="453F1F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ponedjeljak</w:t>
            </w:r>
          </w:p>
        </w:tc>
        <w:tc>
          <w:tcPr>
            <w:tcW w:w="9781" w:type="dxa"/>
            <w:gridSpan w:val="4"/>
          </w:tcPr>
          <w:p w14:paraId="0BD8AC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djava iz hotela. Transfer autobusom do zračne luke i prijava na let za Split 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 xml:space="preserve"> 09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 xml:space="preserve">40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sati sa presjedanjem u Barceloni. Dolazak u Zračnu luku Split u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20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hr-HR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5 sati. </w:t>
            </w:r>
          </w:p>
          <w:p w14:paraId="3828E7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732C8C38">
      <w:pPr>
        <w:pStyle w:val="7"/>
        <w:jc w:val="center"/>
        <w:rPr>
          <w:rFonts w:hint="default" w:ascii="Times New Roman" w:hAnsi="Times New Roman" w:cs="Times New Roman"/>
          <w:b/>
          <w:color w:val="FF0000"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18"/>
          <w:szCs w:val="18"/>
        </w:rPr>
        <w:t xml:space="preserve">CIJENA ARANŽMANA: </w:t>
      </w:r>
    </w:p>
    <w:tbl>
      <w:tblPr>
        <w:tblStyle w:val="6"/>
        <w:tblW w:w="9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5"/>
        <w:gridCol w:w="4941"/>
      </w:tblGrid>
      <w:tr w14:paraId="575C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945" w:type="dxa"/>
          </w:tcPr>
          <w:p w14:paraId="53076035">
            <w:pPr>
              <w:pStyle w:val="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UPLATA KOD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hr-HR"/>
              </w:rPr>
              <w:t>REZERVACIJE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 xml:space="preserve"> 450,00 €</w:t>
            </w:r>
          </w:p>
          <w:p w14:paraId="1EDA05E0">
            <w:pPr>
              <w:pStyle w:val="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(projenjiva stavka – ovisna o cijeni zrakoplovne karte)</w:t>
            </w:r>
          </w:p>
          <w:p w14:paraId="37F92C06">
            <w:pPr>
              <w:pStyle w:val="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nadoplata za 1/1 sobu: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535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,00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4941" w:type="dxa"/>
          </w:tcPr>
          <w:p w14:paraId="3941E29C">
            <w:pPr>
              <w:pStyle w:val="7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30 – 34 putnika   –   1.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690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,00 €</w:t>
            </w:r>
          </w:p>
          <w:p w14:paraId="16A7C5E9">
            <w:pPr>
              <w:pStyle w:val="7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25 – 29 putnika   –   1.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730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,00 €</w:t>
            </w:r>
          </w:p>
          <w:p w14:paraId="484E6A02">
            <w:pPr>
              <w:pStyle w:val="7"/>
              <w:jc w:val="center"/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20 – 24 putnika   –   1.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795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8"/>
                <w:szCs w:val="18"/>
              </w:rPr>
              <w:t>,00 €</w:t>
            </w:r>
          </w:p>
        </w:tc>
      </w:tr>
    </w:tbl>
    <w:p w14:paraId="6F193CA1">
      <w:pPr>
        <w:pStyle w:val="7"/>
        <w:ind w:left="-708" w:hanging="1"/>
        <w:jc w:val="both"/>
        <w:rPr>
          <w:rFonts w:hint="default" w:ascii="Times New Roman" w:hAnsi="Times New Roman" w:cs="Times New Roman"/>
          <w:b/>
          <w:sz w:val="18"/>
          <w:szCs w:val="18"/>
        </w:rPr>
      </w:pPr>
    </w:p>
    <w:p w14:paraId="02840809">
      <w:pPr>
        <w:pStyle w:val="7"/>
        <w:ind w:left="-709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Program uključuje</w:t>
      </w:r>
      <w:r>
        <w:rPr>
          <w:rFonts w:hint="default" w:ascii="Times New Roman" w:hAnsi="Times New Roman" w:cs="Times New Roman"/>
          <w:sz w:val="18"/>
          <w:szCs w:val="18"/>
        </w:rPr>
        <w:t>: let zrakoplovom Split – Barcelona - Granada (VY247</w:t>
      </w:r>
      <w:r>
        <w:rPr>
          <w:rFonts w:hint="default" w:ascii="Times New Roman" w:hAnsi="Times New Roman" w:cs="Times New Roman"/>
          <w:sz w:val="18"/>
          <w:szCs w:val="18"/>
          <w:lang w:val="hr-HR"/>
        </w:rPr>
        <w:t>9/</w:t>
      </w:r>
      <w:r>
        <w:rPr>
          <w:rFonts w:hint="default" w:ascii="Times New Roman" w:hAnsi="Times New Roman" w:cs="Times New Roman"/>
          <w:sz w:val="18"/>
          <w:szCs w:val="18"/>
        </w:rPr>
        <w:t>VY201</w:t>
      </w:r>
      <w:r>
        <w:rPr>
          <w:rFonts w:hint="default" w:ascii="Times New Roman" w:hAnsi="Times New Roman" w:cs="Times New Roman"/>
          <w:sz w:val="18"/>
          <w:szCs w:val="18"/>
          <w:lang w:val="hr-HR"/>
        </w:rPr>
        <w:t>4</w:t>
      </w:r>
      <w:r>
        <w:rPr>
          <w:rFonts w:hint="default" w:ascii="Times New Roman" w:hAnsi="Times New Roman" w:cs="Times New Roman"/>
          <w:sz w:val="18"/>
          <w:szCs w:val="18"/>
        </w:rPr>
        <w:t>) i Sevilla – Barcelona – Split (VY22</w:t>
      </w:r>
      <w:r>
        <w:rPr>
          <w:rFonts w:hint="default" w:ascii="Times New Roman" w:hAnsi="Times New Roman" w:cs="Times New Roman"/>
          <w:sz w:val="18"/>
          <w:szCs w:val="18"/>
          <w:lang w:val="hr-HR"/>
        </w:rPr>
        <w:t>11</w:t>
      </w:r>
      <w:r>
        <w:rPr>
          <w:rFonts w:hint="default" w:ascii="Times New Roman" w:hAnsi="Times New Roman" w:cs="Times New Roman"/>
          <w:sz w:val="18"/>
          <w:szCs w:val="18"/>
        </w:rPr>
        <w:t>/VY2476) sa uključenim zrakoplovnim pristojbama, ručnu prtljagu 40x20x30 cm, predanu prtljagu do 23 kg, prijevoz autobusom turističke klase prema programu, smještaj u hotelima 3* i 4* na bazi noćenja s doručkom u Granadi, La Linei i Sevilli, navedene transfere i razglede prema programu, ulaznice za Real Alcazar i katedralu u Sevilli, Mezquitu u Cordobi, lokalne vodiče, putno zdravstveno osiguranje, osiguranje od posljedica nesretnog slučaja, jamčevinu za turistički paket aranžman, zakonom propisan PDV, voditelja putovanja, te organizaciju putovanja</w:t>
      </w:r>
    </w:p>
    <w:p w14:paraId="1D358EE0">
      <w:pPr>
        <w:pStyle w:val="7"/>
        <w:ind w:left="-708" w:hanging="1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Preporuka: </w:t>
      </w:r>
      <w:r>
        <w:rPr>
          <w:rFonts w:hint="default" w:ascii="Times New Roman" w:hAnsi="Times New Roman" w:cs="Times New Roman"/>
          <w:sz w:val="18"/>
          <w:szCs w:val="18"/>
        </w:rPr>
        <w:t xml:space="preserve">uplata police osiguranja od rizika otkaza putovanja: </w:t>
      </w:r>
      <w:r>
        <w:rPr>
          <w:rFonts w:hint="default" w:ascii="Times New Roman" w:hAnsi="Times New Roman" w:cs="Times New Roman"/>
          <w:sz w:val="18"/>
          <w:szCs w:val="18"/>
          <w:lang w:val="hr-HR"/>
        </w:rPr>
        <w:t>53</w:t>
      </w:r>
      <w:r>
        <w:rPr>
          <w:rFonts w:hint="default" w:ascii="Times New Roman" w:hAnsi="Times New Roman" w:cs="Times New Roman"/>
          <w:sz w:val="18"/>
          <w:szCs w:val="18"/>
        </w:rPr>
        <w:t>,00 eura (plativo isključivo kod prve uplate)</w:t>
      </w:r>
    </w:p>
    <w:p w14:paraId="6F8BB7DB">
      <w:pPr>
        <w:pStyle w:val="7"/>
        <w:ind w:left="-709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Program ne uključuje: </w:t>
      </w:r>
      <w:r>
        <w:rPr>
          <w:rFonts w:hint="default" w:ascii="Times New Roman" w:hAnsi="Times New Roman" w:cs="Times New Roman"/>
          <w:sz w:val="18"/>
          <w:szCs w:val="18"/>
        </w:rPr>
        <w:t xml:space="preserve">ulaznice i lokalnog vodiča za Alhambru u Granadi – 45,00 € (isključivo na upit, zavisno o trenutku prijave i raspoloživosti ulaznica), vodstvo i razgled Gibraltara minibusevima – </w:t>
      </w:r>
      <w:r>
        <w:rPr>
          <w:rFonts w:hint="default" w:ascii="Times New Roman" w:hAnsi="Times New Roman" w:cs="Times New Roman"/>
          <w:sz w:val="18"/>
          <w:szCs w:val="18"/>
          <w:lang w:val="hr-HR"/>
        </w:rPr>
        <w:t>65</w:t>
      </w:r>
      <w:r>
        <w:rPr>
          <w:rFonts w:hint="default" w:ascii="Times New Roman" w:hAnsi="Times New Roman" w:cs="Times New Roman"/>
          <w:sz w:val="18"/>
          <w:szCs w:val="18"/>
        </w:rPr>
        <w:t xml:space="preserve">,00 €, flamenco show – 45,00 € - </w:t>
      </w:r>
      <w:r>
        <w:rPr>
          <w:rFonts w:hint="default" w:ascii="Times New Roman" w:hAnsi="Times New Roman" w:cs="Times New Roman"/>
          <w:b/>
          <w:sz w:val="18"/>
          <w:szCs w:val="18"/>
        </w:rPr>
        <w:t>informativne cijene, min.15 prijavljenih putnika</w:t>
      </w:r>
      <w:r>
        <w:rPr>
          <w:rFonts w:hint="default" w:ascii="Times New Roman" w:hAnsi="Times New Roman" w:cs="Times New Roman"/>
          <w:sz w:val="18"/>
          <w:szCs w:val="18"/>
        </w:rPr>
        <w:t>, (prijave u Agenciji, plaćanje na licu mjesta), ulaznice za kulturno-povijesne spomenike koji nisu navedeni programom, obroke koji nisu uključeni u cijenu, troškove osobne prirode, karte javnog gradskog prijevoza, napojnice lokalnom pratećem osoblju.</w:t>
      </w:r>
    </w:p>
    <w:p w14:paraId="729AF533">
      <w:pPr>
        <w:pStyle w:val="7"/>
        <w:ind w:left="-709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                                                           </w:t>
      </w:r>
      <w:r>
        <w:rPr>
          <w:rFonts w:hint="default" w:ascii="Times New Roman" w:hAnsi="Times New Roman" w:cs="Times New Roman"/>
          <w:b/>
          <w:color w:val="1F497D" w:themeColor="text2"/>
          <w:sz w:val="18"/>
          <w:szCs w:val="18"/>
        </w:rPr>
        <w:t>ZA OVO PUTOVANJE DOVOLJNA JE VAŽEĆA OSOBNA ISKAZNICA</w:t>
      </w:r>
    </w:p>
    <w:p w14:paraId="31BD8B3E">
      <w:pPr>
        <w:pStyle w:val="7"/>
        <w:tabs>
          <w:tab w:val="left" w:pos="380"/>
          <w:tab w:val="center" w:pos="4536"/>
        </w:tabs>
        <w:ind w:firstLine="1441" w:firstLineChars="800"/>
        <w:jc w:val="both"/>
        <w:rPr>
          <w:rFonts w:hint="default" w:ascii="Times New Roman" w:hAnsi="Times New Roman" w:cs="Times New Roman"/>
          <w:b/>
          <w:color w:val="FF0000"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18"/>
          <w:szCs w:val="18"/>
        </w:rPr>
        <w:t>PUTOKAZI SPLIT, Mažuranićevo šetalište 14, tel: 021/455-038, R.V. 9,00 – 13,00 sati</w:t>
      </w:r>
    </w:p>
    <w:p w14:paraId="526D923D">
      <w:pPr>
        <w:pStyle w:val="7"/>
        <w:jc w:val="center"/>
        <w:rPr>
          <w:rFonts w:hint="default" w:ascii="Times New Roman" w:hAnsi="Times New Roman" w:cs="Times New Roman"/>
          <w:b/>
          <w:color w:val="FF0000"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18"/>
          <w:szCs w:val="18"/>
        </w:rPr>
        <w:t xml:space="preserve">mob: 099/26 424 26, www.putokazi-split.com; e-mail: </w:t>
      </w:r>
      <w:r>
        <w:rPr>
          <w:rFonts w:hint="default" w:ascii="Times New Roman" w:hAnsi="Times New Roman" w:cs="Times New Roman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sz w:val="18"/>
          <w:szCs w:val="18"/>
        </w:rPr>
        <w:instrText xml:space="preserve"> HYPERLINK "mailto:jelena@putokazi-split.com" </w:instrText>
      </w:r>
      <w:r>
        <w:rPr>
          <w:rFonts w:hint="default" w:ascii="Times New Roman" w:hAnsi="Times New Roman" w:cs="Times New Roman"/>
          <w:sz w:val="18"/>
          <w:szCs w:val="18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sz w:val="18"/>
          <w:szCs w:val="18"/>
        </w:rPr>
        <w:t>jelena@putokazi-split.com</w:t>
      </w:r>
      <w:r>
        <w:rPr>
          <w:rStyle w:val="5"/>
          <w:rFonts w:hint="default" w:ascii="Times New Roman" w:hAnsi="Times New Roman" w:cs="Times New Roman"/>
          <w:b/>
          <w:sz w:val="18"/>
          <w:szCs w:val="18"/>
        </w:rPr>
        <w:fldChar w:fldCharType="end"/>
      </w:r>
    </w:p>
    <w:p w14:paraId="632B06B2">
      <w:pPr>
        <w:pStyle w:val="7"/>
        <w:jc w:val="center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hint="default" w:ascii="Times New Roman" w:hAnsi="Times New Roman" w:cs="Times New Roman"/>
          <w:color w:val="FF0000"/>
          <w:sz w:val="18"/>
          <w:szCs w:val="18"/>
        </w:rPr>
        <w:t>ID COD: HR-AB-21060271971</w:t>
      </w:r>
    </w:p>
    <w:sectPr>
      <w:pgSz w:w="11906" w:h="16838"/>
      <w:pgMar w:top="284" w:right="849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5EBA"/>
    <w:rsid w:val="00040117"/>
    <w:rsid w:val="00061218"/>
    <w:rsid w:val="00071277"/>
    <w:rsid w:val="000B1301"/>
    <w:rsid w:val="000C71B4"/>
    <w:rsid w:val="000D6672"/>
    <w:rsid w:val="0011072E"/>
    <w:rsid w:val="001326C7"/>
    <w:rsid w:val="0013702E"/>
    <w:rsid w:val="00170EF2"/>
    <w:rsid w:val="00180D11"/>
    <w:rsid w:val="0019290F"/>
    <w:rsid w:val="00192BD2"/>
    <w:rsid w:val="001A39EC"/>
    <w:rsid w:val="001C43B4"/>
    <w:rsid w:val="001D2EC7"/>
    <w:rsid w:val="001D5BEF"/>
    <w:rsid w:val="001E478F"/>
    <w:rsid w:val="00202E76"/>
    <w:rsid w:val="00211305"/>
    <w:rsid w:val="002343C2"/>
    <w:rsid w:val="002369FE"/>
    <w:rsid w:val="002652F1"/>
    <w:rsid w:val="002731B7"/>
    <w:rsid w:val="002846F7"/>
    <w:rsid w:val="00287AEC"/>
    <w:rsid w:val="00291F9C"/>
    <w:rsid w:val="002C6694"/>
    <w:rsid w:val="002E50B0"/>
    <w:rsid w:val="002F1785"/>
    <w:rsid w:val="002F6280"/>
    <w:rsid w:val="00310FA5"/>
    <w:rsid w:val="00317184"/>
    <w:rsid w:val="0032749B"/>
    <w:rsid w:val="003356F1"/>
    <w:rsid w:val="00340270"/>
    <w:rsid w:val="003504BB"/>
    <w:rsid w:val="003578CE"/>
    <w:rsid w:val="00362EBE"/>
    <w:rsid w:val="003728BA"/>
    <w:rsid w:val="00372BDD"/>
    <w:rsid w:val="003A1E74"/>
    <w:rsid w:val="003A649D"/>
    <w:rsid w:val="003B2A01"/>
    <w:rsid w:val="003B6351"/>
    <w:rsid w:val="003B6F4E"/>
    <w:rsid w:val="003D0D35"/>
    <w:rsid w:val="003F209E"/>
    <w:rsid w:val="003F42DD"/>
    <w:rsid w:val="00414466"/>
    <w:rsid w:val="00416639"/>
    <w:rsid w:val="00427DE1"/>
    <w:rsid w:val="00431A62"/>
    <w:rsid w:val="00444EA3"/>
    <w:rsid w:val="004511B4"/>
    <w:rsid w:val="00451F8A"/>
    <w:rsid w:val="00462D06"/>
    <w:rsid w:val="004670B7"/>
    <w:rsid w:val="004A68B5"/>
    <w:rsid w:val="004B5BB6"/>
    <w:rsid w:val="004C0144"/>
    <w:rsid w:val="004C6FF8"/>
    <w:rsid w:val="004D02D6"/>
    <w:rsid w:val="004D33EC"/>
    <w:rsid w:val="004D44FD"/>
    <w:rsid w:val="004E3D80"/>
    <w:rsid w:val="004F35AF"/>
    <w:rsid w:val="00501472"/>
    <w:rsid w:val="00510CD8"/>
    <w:rsid w:val="005420E3"/>
    <w:rsid w:val="005476D1"/>
    <w:rsid w:val="005509EA"/>
    <w:rsid w:val="00552AFB"/>
    <w:rsid w:val="00575BF4"/>
    <w:rsid w:val="00584B8D"/>
    <w:rsid w:val="00595126"/>
    <w:rsid w:val="005A54DB"/>
    <w:rsid w:val="005C4CA8"/>
    <w:rsid w:val="005D05F4"/>
    <w:rsid w:val="005E08B2"/>
    <w:rsid w:val="005E57FC"/>
    <w:rsid w:val="0060797D"/>
    <w:rsid w:val="00621CEE"/>
    <w:rsid w:val="00621DC7"/>
    <w:rsid w:val="00626D9C"/>
    <w:rsid w:val="00636498"/>
    <w:rsid w:val="00643723"/>
    <w:rsid w:val="00656466"/>
    <w:rsid w:val="00690989"/>
    <w:rsid w:val="00695CCA"/>
    <w:rsid w:val="006D0C2D"/>
    <w:rsid w:val="006D266A"/>
    <w:rsid w:val="006E053E"/>
    <w:rsid w:val="006E5790"/>
    <w:rsid w:val="006F3FA3"/>
    <w:rsid w:val="00702852"/>
    <w:rsid w:val="00710363"/>
    <w:rsid w:val="007167DC"/>
    <w:rsid w:val="00742101"/>
    <w:rsid w:val="00745E64"/>
    <w:rsid w:val="007505DD"/>
    <w:rsid w:val="00753F10"/>
    <w:rsid w:val="0076543F"/>
    <w:rsid w:val="007A27E3"/>
    <w:rsid w:val="007B137D"/>
    <w:rsid w:val="007C2B90"/>
    <w:rsid w:val="007D1101"/>
    <w:rsid w:val="007E4F28"/>
    <w:rsid w:val="007F14B3"/>
    <w:rsid w:val="007F3D10"/>
    <w:rsid w:val="007F459D"/>
    <w:rsid w:val="008029BC"/>
    <w:rsid w:val="008244F9"/>
    <w:rsid w:val="008265E1"/>
    <w:rsid w:val="00832B5A"/>
    <w:rsid w:val="00850FAB"/>
    <w:rsid w:val="008510E5"/>
    <w:rsid w:val="00853E85"/>
    <w:rsid w:val="00861A3C"/>
    <w:rsid w:val="0086552B"/>
    <w:rsid w:val="00881986"/>
    <w:rsid w:val="00893125"/>
    <w:rsid w:val="00896161"/>
    <w:rsid w:val="008A7A00"/>
    <w:rsid w:val="008B649B"/>
    <w:rsid w:val="008C5763"/>
    <w:rsid w:val="008D33A2"/>
    <w:rsid w:val="00904E63"/>
    <w:rsid w:val="00930776"/>
    <w:rsid w:val="00946D86"/>
    <w:rsid w:val="00972A81"/>
    <w:rsid w:val="00984D4A"/>
    <w:rsid w:val="009A5EBA"/>
    <w:rsid w:val="009D48CB"/>
    <w:rsid w:val="009E2AEF"/>
    <w:rsid w:val="009F3089"/>
    <w:rsid w:val="009F457D"/>
    <w:rsid w:val="00A02F6B"/>
    <w:rsid w:val="00A0312C"/>
    <w:rsid w:val="00A06B53"/>
    <w:rsid w:val="00A32409"/>
    <w:rsid w:val="00A3333C"/>
    <w:rsid w:val="00A3343A"/>
    <w:rsid w:val="00A400E1"/>
    <w:rsid w:val="00A46C1B"/>
    <w:rsid w:val="00A5099F"/>
    <w:rsid w:val="00A54D9B"/>
    <w:rsid w:val="00A56E1E"/>
    <w:rsid w:val="00A6403F"/>
    <w:rsid w:val="00A66FCE"/>
    <w:rsid w:val="00A90426"/>
    <w:rsid w:val="00A94938"/>
    <w:rsid w:val="00AA2AD6"/>
    <w:rsid w:val="00AC4A51"/>
    <w:rsid w:val="00AD4BDE"/>
    <w:rsid w:val="00B1361A"/>
    <w:rsid w:val="00B25CED"/>
    <w:rsid w:val="00B33F5E"/>
    <w:rsid w:val="00B5114E"/>
    <w:rsid w:val="00B524DC"/>
    <w:rsid w:val="00B56B30"/>
    <w:rsid w:val="00B66FE4"/>
    <w:rsid w:val="00B74F39"/>
    <w:rsid w:val="00B8280C"/>
    <w:rsid w:val="00B85699"/>
    <w:rsid w:val="00B9040A"/>
    <w:rsid w:val="00BA5350"/>
    <w:rsid w:val="00BB0085"/>
    <w:rsid w:val="00BB664E"/>
    <w:rsid w:val="00C03CAE"/>
    <w:rsid w:val="00C058F1"/>
    <w:rsid w:val="00C068F4"/>
    <w:rsid w:val="00C10593"/>
    <w:rsid w:val="00C1607E"/>
    <w:rsid w:val="00C37ECC"/>
    <w:rsid w:val="00C51124"/>
    <w:rsid w:val="00C5211A"/>
    <w:rsid w:val="00C7039E"/>
    <w:rsid w:val="00C73545"/>
    <w:rsid w:val="00C76A75"/>
    <w:rsid w:val="00C9568A"/>
    <w:rsid w:val="00CB77E5"/>
    <w:rsid w:val="00CC23CF"/>
    <w:rsid w:val="00CC63C1"/>
    <w:rsid w:val="00CD2FFB"/>
    <w:rsid w:val="00CD7C11"/>
    <w:rsid w:val="00CE699D"/>
    <w:rsid w:val="00CF24EF"/>
    <w:rsid w:val="00CF6574"/>
    <w:rsid w:val="00CF7E48"/>
    <w:rsid w:val="00D13E88"/>
    <w:rsid w:val="00D15EB1"/>
    <w:rsid w:val="00D2094A"/>
    <w:rsid w:val="00D27073"/>
    <w:rsid w:val="00D31652"/>
    <w:rsid w:val="00D33D63"/>
    <w:rsid w:val="00D420CD"/>
    <w:rsid w:val="00D43568"/>
    <w:rsid w:val="00D45CB3"/>
    <w:rsid w:val="00D66C11"/>
    <w:rsid w:val="00D7092C"/>
    <w:rsid w:val="00D927D3"/>
    <w:rsid w:val="00D936CD"/>
    <w:rsid w:val="00D961D9"/>
    <w:rsid w:val="00D974EA"/>
    <w:rsid w:val="00DB6E17"/>
    <w:rsid w:val="00DB710D"/>
    <w:rsid w:val="00DC4903"/>
    <w:rsid w:val="00DD69E3"/>
    <w:rsid w:val="00DE16E3"/>
    <w:rsid w:val="00DF6A92"/>
    <w:rsid w:val="00E46FB2"/>
    <w:rsid w:val="00E71EF4"/>
    <w:rsid w:val="00E846E4"/>
    <w:rsid w:val="00EA1E33"/>
    <w:rsid w:val="00EA51DF"/>
    <w:rsid w:val="00ED536B"/>
    <w:rsid w:val="00ED6BD9"/>
    <w:rsid w:val="00F077C6"/>
    <w:rsid w:val="00F245BB"/>
    <w:rsid w:val="00F4573D"/>
    <w:rsid w:val="00F513E0"/>
    <w:rsid w:val="00F762A1"/>
    <w:rsid w:val="00F82F17"/>
    <w:rsid w:val="00FA7E47"/>
    <w:rsid w:val="00FC28CE"/>
    <w:rsid w:val="00FC2F99"/>
    <w:rsid w:val="00FF276C"/>
    <w:rsid w:val="00FF3240"/>
    <w:rsid w:val="0B1103B5"/>
    <w:rsid w:val="0C6B10BD"/>
    <w:rsid w:val="0D296826"/>
    <w:rsid w:val="17CF69F6"/>
    <w:rsid w:val="28DE781D"/>
    <w:rsid w:val="2C7B2BC0"/>
    <w:rsid w:val="37361576"/>
    <w:rsid w:val="42025F5C"/>
    <w:rsid w:val="46960C97"/>
    <w:rsid w:val="49023556"/>
    <w:rsid w:val="531D336C"/>
    <w:rsid w:val="667C4CCE"/>
    <w:rsid w:val="68A97CC5"/>
    <w:rsid w:val="69994F4D"/>
    <w:rsid w:val="70A01B25"/>
    <w:rsid w:val="718A079C"/>
    <w:rsid w:val="744720CA"/>
    <w:rsid w:val="793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5B2C2-19CF-4C66-A581-D5F6137F3D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 Work</Company>
  <Pages>1</Pages>
  <Words>964</Words>
  <Characters>5498</Characters>
  <Lines>45</Lines>
  <Paragraphs>12</Paragraphs>
  <TotalTime>107</TotalTime>
  <ScaleCrop>false</ScaleCrop>
  <LinksUpToDate>false</LinksUpToDate>
  <CharactersWithSpaces>6450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2023-10-12T11:11:00Z</dcterms:created>
  <dc:creator>Ratka</dc:creator>
  <cp:lastModifiedBy>Željko</cp:lastModifiedBy>
  <cp:lastPrinted>2026-01-22T09:55:06Z</cp:lastPrinted>
  <dcterms:modified xsi:type="dcterms:W3CDTF">2026-01-22T09:56:06Z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8A48E6FF32714459B46FC65B1DE993F2_12</vt:lpwstr>
  </property>
</Properties>
</file>